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7193740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65268">
        <w:rPr>
          <w:bCs/>
          <w:noProof w:val="0"/>
          <w:sz w:val="24"/>
          <w:szCs w:val="24"/>
        </w:rPr>
        <w:t>4</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9C5CC7">
        <w:rPr>
          <w:bCs/>
          <w:noProof w:val="0"/>
          <w:sz w:val="24"/>
          <w:szCs w:val="24"/>
        </w:rPr>
        <w:t>5869</w:t>
      </w:r>
    </w:p>
    <w:p w14:paraId="11776FA6" w14:textId="39E9C7AF"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E1057" w:rsidRPr="006E1057">
        <w:rPr>
          <w:rFonts w:eastAsia="SimSun"/>
          <w:bCs/>
          <w:sz w:val="24"/>
          <w:szCs w:val="24"/>
          <w:lang w:eastAsia="zh-CN"/>
        </w:rPr>
        <w:t>1</w:t>
      </w:r>
      <w:r w:rsidR="00065268">
        <w:rPr>
          <w:rFonts w:eastAsia="SimSun"/>
          <w:bCs/>
          <w:sz w:val="24"/>
          <w:szCs w:val="24"/>
          <w:lang w:eastAsia="zh-CN"/>
        </w:rPr>
        <w:t>9</w:t>
      </w:r>
      <w:r w:rsidR="006E1057" w:rsidRPr="006E1057">
        <w:rPr>
          <w:rFonts w:eastAsia="SimSun"/>
          <w:bCs/>
          <w:sz w:val="24"/>
          <w:szCs w:val="24"/>
          <w:lang w:eastAsia="zh-CN"/>
        </w:rPr>
        <w:t xml:space="preserve"> – 2</w:t>
      </w:r>
      <w:r w:rsidR="00065268">
        <w:rPr>
          <w:rFonts w:eastAsia="SimSun"/>
          <w:bCs/>
          <w:sz w:val="24"/>
          <w:szCs w:val="24"/>
          <w:lang w:eastAsia="zh-CN"/>
        </w:rPr>
        <w:t>7</w:t>
      </w:r>
      <w:r w:rsidR="006E1057" w:rsidRPr="006E1057">
        <w:rPr>
          <w:rFonts w:eastAsia="SimSun"/>
          <w:bCs/>
          <w:sz w:val="24"/>
          <w:szCs w:val="24"/>
          <w:lang w:eastAsia="zh-CN"/>
        </w:rPr>
        <w:t xml:space="preserve"> </w:t>
      </w:r>
      <w:r w:rsidR="00065268">
        <w:rPr>
          <w:rFonts w:eastAsia="SimSun"/>
          <w:bCs/>
          <w:sz w:val="24"/>
          <w:szCs w:val="24"/>
          <w:lang w:eastAsia="zh-CN"/>
        </w:rPr>
        <w:t>May</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B105B0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F7B10">
        <w:rPr>
          <w:rFonts w:cs="Arial"/>
          <w:b/>
          <w:bCs/>
          <w:sz w:val="24"/>
          <w:lang w:eastAsia="ja-JP"/>
        </w:rPr>
        <w:t>8.12.3.1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6A66EA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F7B10">
        <w:rPr>
          <w:rFonts w:ascii="Arial" w:hAnsi="Arial" w:cs="Arial"/>
          <w:b/>
          <w:bCs/>
          <w:sz w:val="24"/>
        </w:rPr>
        <w:t>eDRX for REDCAP</w:t>
      </w:r>
    </w:p>
    <w:p w14:paraId="1F147C23" w14:textId="632B77D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F7B10" w:rsidRPr="00123211">
        <w:rPr>
          <w:rFonts w:ascii="Arial" w:hAnsi="Arial" w:cs="Arial"/>
          <w:b/>
          <w:bCs/>
          <w:sz w:val="24"/>
        </w:rPr>
        <w:t xml:space="preserve">NR_redcap-Core </w:t>
      </w:r>
      <w:r w:rsidR="00CF7B10">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7A447B72" w:rsidR="007F2E08" w:rsidRDefault="00621F2A" w:rsidP="00A209D6">
      <w:r>
        <w:t>In the previous RAN2#113Bis-e meeting, the following was left FFS:</w:t>
      </w:r>
    </w:p>
    <w:tbl>
      <w:tblPr>
        <w:tblStyle w:val="TableGrid"/>
        <w:tblW w:w="0" w:type="auto"/>
        <w:tblLook w:val="04A0" w:firstRow="1" w:lastRow="0" w:firstColumn="1" w:lastColumn="0" w:noHBand="0" w:noVBand="1"/>
      </w:tblPr>
      <w:tblGrid>
        <w:gridCol w:w="9631"/>
      </w:tblGrid>
      <w:tr w:rsidR="00621F2A" w14:paraId="09844B10" w14:textId="77777777" w:rsidTr="00621F2A">
        <w:tc>
          <w:tcPr>
            <w:tcW w:w="9631" w:type="dxa"/>
            <w:shd w:val="clear" w:color="auto" w:fill="F2F2F2" w:themeFill="background1" w:themeFillShade="F2"/>
          </w:tcPr>
          <w:p w14:paraId="0FFD7528" w14:textId="6DF16203" w:rsidR="00621F2A" w:rsidRPr="00621F2A" w:rsidRDefault="00621F2A" w:rsidP="00A209D6">
            <w:pPr>
              <w:rPr>
                <w:i/>
                <w:iCs/>
              </w:rPr>
            </w:pPr>
            <w:r w:rsidRPr="00621F2A">
              <w:rPr>
                <w:i/>
                <w:iCs/>
              </w:rPr>
              <w:t>2.</w:t>
            </w:r>
            <w:r w:rsidRPr="00621F2A">
              <w:rPr>
                <w:i/>
                <w:iCs/>
              </w:rPr>
              <w:tab/>
              <w:t>At least for eDRX cycle, the configurations of the eDRX for RRC_IDLE and RRC_INACTIVE can be different (FFS for PTW, e.g. length and starting point, when eDRX cycles are longer than 10.24s)</w:t>
            </w:r>
          </w:p>
        </w:tc>
      </w:tr>
    </w:tbl>
    <w:p w14:paraId="3040BD0D" w14:textId="2372A38F" w:rsidR="00621F2A" w:rsidRDefault="00621F2A" w:rsidP="00A209D6"/>
    <w:p w14:paraId="7FF96AC7" w14:textId="0931DCBC" w:rsidR="00621F2A" w:rsidRDefault="00621F2A" w:rsidP="00A209D6">
      <w:r>
        <w:t>Furthermore, no discussion took place about the minimum value for the eDRX cycle.</w:t>
      </w:r>
    </w:p>
    <w:p w14:paraId="4F547731" w14:textId="52DF6C18" w:rsidR="00A209D6" w:rsidRDefault="00A209D6" w:rsidP="00B7538C">
      <w:pPr>
        <w:pStyle w:val="Heading1"/>
      </w:pPr>
      <w:r w:rsidRPr="006E13D1">
        <w:t>2</w:t>
      </w:r>
      <w:r w:rsidRPr="006E13D1">
        <w:tab/>
      </w:r>
      <w:r w:rsidR="00621F2A">
        <w:t>Discussion</w:t>
      </w:r>
    </w:p>
    <w:p w14:paraId="5BAA793C" w14:textId="548CAE26" w:rsidR="00621F2A" w:rsidRDefault="00621F2A" w:rsidP="00621F2A">
      <w:pPr>
        <w:pStyle w:val="Heading2"/>
      </w:pPr>
      <w:r>
        <w:t>2.1</w:t>
      </w:r>
      <w:r>
        <w:tab/>
        <w:t>Minimum eDRX cycle length</w:t>
      </w:r>
    </w:p>
    <w:p w14:paraId="5E8A648A" w14:textId="278E9A9E" w:rsidR="00621F2A" w:rsidRDefault="00621F2A" w:rsidP="00621F2A">
      <w:r>
        <w:t>Based on the WID objectives, the eDRX cycles up to 10.24s do not apply PTW and PH. The values lower than 10.24s for eDRX should also be agreed – based on the study item, values of 5.12s (as in LTE) and 2.56s were proposed, which seem sufficient for eDRX cycles below 10.24s. These both can be applied for RRC_INACTIVE and RRC_IDLE eDRX. Although normal DRX allows paging cycle to be also 2.56s, that is seldom used in real networks; hence, we think specifying it also for eDRX would give flexibility for configuring the eDRX in different use cases.</w:t>
      </w:r>
    </w:p>
    <w:p w14:paraId="7E3FF4C5" w14:textId="33AF08D6" w:rsidR="00621F2A" w:rsidRDefault="00621F2A" w:rsidP="00621F2A">
      <w:pPr>
        <w:rPr>
          <w:b/>
          <w:bCs/>
        </w:rPr>
      </w:pPr>
      <w:r>
        <w:rPr>
          <w:b/>
          <w:bCs/>
        </w:rPr>
        <w:t>Proposal 1: Support eDRX cycles values of 2.56s and 5.12s below 10.24s for both RRC_INACTIVE and RRC_IDLE.</w:t>
      </w:r>
    </w:p>
    <w:p w14:paraId="5F01C058" w14:textId="5BBB94AC" w:rsidR="00A209D6" w:rsidRPr="006E13D1" w:rsidRDefault="00B7538C" w:rsidP="00A209D6">
      <w:pPr>
        <w:pStyle w:val="Heading2"/>
      </w:pPr>
      <w:r>
        <w:t>2</w:t>
      </w:r>
      <w:r w:rsidR="00A209D6" w:rsidRPr="006E13D1">
        <w:t>.1</w:t>
      </w:r>
      <w:r w:rsidR="00A209D6" w:rsidRPr="006E13D1">
        <w:tab/>
      </w:r>
      <w:r w:rsidR="00AC5DC7">
        <w:t>PTW between RRC_IDLE and RRC_INACTIVE</w:t>
      </w:r>
    </w:p>
    <w:p w14:paraId="4C1FDC1C" w14:textId="6AB9A46D" w:rsidR="00B7538C" w:rsidRDefault="00AC5DC7" w:rsidP="00B7538C">
      <w:r>
        <w:t>It was left FFS whether on top of eDRX cycle length, the PTW could be different between RRC_IDLE and RRC_INACTIVE in case the eDRX cycles are longer than 10.24s for both states. Given that the eDRX cycle lengths can be quite different in both states (say difference of several tens of seconds to minutes or even hours), it would seem unnecessary to limit the specification support to always employ the same PTW configuration for both states. It can be left for NW implementation to ensure, e.g., good alignment of the configurations between the two states in which case power consumption in the UE side should neither be a concern.</w:t>
      </w:r>
    </w:p>
    <w:p w14:paraId="6DA18263" w14:textId="120F8E2B" w:rsidR="00AC5DC7" w:rsidRPr="00AC5DC7" w:rsidRDefault="00AC5DC7" w:rsidP="00B7538C">
      <w:pPr>
        <w:rPr>
          <w:b/>
          <w:bCs/>
        </w:rPr>
      </w:pPr>
      <w:r>
        <w:rPr>
          <w:b/>
          <w:bCs/>
        </w:rPr>
        <w:t>Proposal 2: The PTW configuration of the eDRX for RRC_IDLE and RRC_INACTIVE can be different.</w:t>
      </w:r>
    </w:p>
    <w:p w14:paraId="5FF2457F" w14:textId="4D0A472A" w:rsidR="00A209D6" w:rsidRPr="006E13D1" w:rsidRDefault="00AC5DC7" w:rsidP="00A209D6">
      <w:pPr>
        <w:pStyle w:val="Heading1"/>
      </w:pPr>
      <w:r>
        <w:t>3</w:t>
      </w:r>
      <w:r w:rsidR="00A209D6" w:rsidRPr="006E13D1">
        <w:tab/>
      </w:r>
      <w:r w:rsidR="008C3057">
        <w:t>Conclusion</w:t>
      </w:r>
    </w:p>
    <w:p w14:paraId="283D2CAF" w14:textId="77777777" w:rsidR="00AC5DC7" w:rsidRDefault="00AC5DC7" w:rsidP="00AC5DC7">
      <w:pPr>
        <w:rPr>
          <w:b/>
          <w:bCs/>
        </w:rPr>
      </w:pPr>
      <w:r>
        <w:rPr>
          <w:b/>
          <w:bCs/>
        </w:rPr>
        <w:t>Proposal 1: Support eDRX cycles values of 2.56s and 5.12s below 10.24s for both RRC_INACTIVE and RRC_IDLE.</w:t>
      </w:r>
    </w:p>
    <w:p w14:paraId="4DE7EEF8" w14:textId="77777777" w:rsidR="00AC5DC7" w:rsidRPr="00AC5DC7" w:rsidRDefault="00AC5DC7" w:rsidP="00AC5DC7">
      <w:pPr>
        <w:rPr>
          <w:b/>
          <w:bCs/>
        </w:rPr>
      </w:pPr>
      <w:r>
        <w:rPr>
          <w:b/>
          <w:bCs/>
        </w:rPr>
        <w:t>Proposal 2: The PTW configuration of the eDRX for RRC_IDLE and RRC_INACTIVE can be different.</w:t>
      </w:r>
    </w:p>
    <w:sectPr w:rsidR="00AC5DC7" w:rsidRPr="00AC5DC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3113D" w14:textId="77777777" w:rsidR="00E859B6" w:rsidRDefault="00E859B6">
      <w:r>
        <w:separator/>
      </w:r>
    </w:p>
  </w:endnote>
  <w:endnote w:type="continuationSeparator" w:id="0">
    <w:p w14:paraId="49BC8243" w14:textId="77777777" w:rsidR="00E859B6" w:rsidRDefault="00E859B6">
      <w:r>
        <w:continuationSeparator/>
      </w:r>
    </w:p>
  </w:endnote>
  <w:endnote w:type="continuationNotice" w:id="1">
    <w:p w14:paraId="64E87706"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98629C" w14:textId="77777777" w:rsidR="00E859B6" w:rsidRDefault="00E859B6">
      <w:r>
        <w:separator/>
      </w:r>
    </w:p>
  </w:footnote>
  <w:footnote w:type="continuationSeparator" w:id="0">
    <w:p w14:paraId="3CC73607" w14:textId="77777777" w:rsidR="00E859B6" w:rsidRDefault="00E859B6">
      <w:r>
        <w:continuationSeparator/>
      </w:r>
    </w:p>
  </w:footnote>
  <w:footnote w:type="continuationNotice" w:id="1">
    <w:p w14:paraId="11043E4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5268"/>
    <w:rsid w:val="00073C9C"/>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610D8"/>
    <w:rsid w:val="002747EC"/>
    <w:rsid w:val="002855BF"/>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49C6"/>
    <w:rsid w:val="00611566"/>
    <w:rsid w:val="00621F2A"/>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13245"/>
    <w:rsid w:val="00840DE0"/>
    <w:rsid w:val="008607A8"/>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C5CC7"/>
    <w:rsid w:val="009D74A6"/>
    <w:rsid w:val="009E0E87"/>
    <w:rsid w:val="00A10F02"/>
    <w:rsid w:val="00A204CA"/>
    <w:rsid w:val="00A209D6"/>
    <w:rsid w:val="00A22738"/>
    <w:rsid w:val="00A430EC"/>
    <w:rsid w:val="00A53724"/>
    <w:rsid w:val="00A54B2B"/>
    <w:rsid w:val="00A82346"/>
    <w:rsid w:val="00A9671C"/>
    <w:rsid w:val="00AA1553"/>
    <w:rsid w:val="00AC5DC7"/>
    <w:rsid w:val="00B05380"/>
    <w:rsid w:val="00B05962"/>
    <w:rsid w:val="00B15449"/>
    <w:rsid w:val="00B16C2F"/>
    <w:rsid w:val="00B27303"/>
    <w:rsid w:val="00B47FD1"/>
    <w:rsid w:val="00B516BB"/>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CF7B10"/>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859B6"/>
    <w:rsid w:val="00EA66C9"/>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621F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44794797">
      <w:bodyDiv w:val="1"/>
      <w:marLeft w:val="0"/>
      <w:marRight w:val="0"/>
      <w:marTop w:val="0"/>
      <w:marBottom w:val="0"/>
      <w:divBdr>
        <w:top w:val="none" w:sz="0" w:space="0" w:color="auto"/>
        <w:left w:val="none" w:sz="0" w:space="0" w:color="auto"/>
        <w:bottom w:val="none" w:sz="0" w:space="0" w:color="auto"/>
        <w:right w:val="none" w:sz="0" w:space="0" w:color="auto"/>
      </w:divBdr>
    </w:div>
    <w:div w:id="122220931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4cec1edcd5c1e4823cefea8261ee0612">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755daf472701444201ec4caf06f711f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5AIRPNAIUNRU-859666464-8785</_dlc_DocId>
    <_dlc_DocIdUrl xmlns="71c5aaf6-e6ce-465b-b873-5148d2a4c105">
      <Url>https://nokia.sharepoint.com/sites/c5g/e2earch/_layouts/15/DocIdRedir.aspx?ID=5AIRPNAIUNRU-859666464-8785</Url>
      <Description>5AIRPNAIUNRU-859666464-8785</Description>
    </_dlc_DocIdUrl>
  </documentManagement>
</p:properti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211752D6-72B0-42E2-964B-4BF194FE2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71c5aaf6-e6ce-465b-b873-5148d2a4c105"/>
    <ds:schemaRef ds:uri="28d22441-8343-43f8-ac6d-b59b0fa8fca6"/>
    <ds:schemaRef ds:uri="http://www.w3.org/XML/1998/namespace"/>
    <ds:schemaRef ds:uri="http://purl.org/dc/dcmitype/"/>
  </ds:schemaRefs>
</ds:datastoreItem>
</file>

<file path=customXml/itemProps5.xml><?xml version="1.0" encoding="utf-8"?>
<ds:datastoreItem xmlns:ds="http://schemas.openxmlformats.org/officeDocument/2006/customXml" ds:itemID="{C10E19EB-F6FA-4127-AF6E-68F183C1C26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377</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2272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(RAN2#113Bis-e)</cp:lastModifiedBy>
  <cp:revision>4</cp:revision>
  <dcterms:created xsi:type="dcterms:W3CDTF">2021-05-10T09:06:00Z</dcterms:created>
  <dcterms:modified xsi:type="dcterms:W3CDTF">2021-05-10T13:58:00Z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07495fe8-d61a-4733-81fa-fa837265609a</vt:lpwstr>
  </property>
</Properties>
</file>